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0243A"/>
          <w:sz w:val="36"/>
        </w:rPr>
        <w:t>Mock CQC inspection template: care homes</w:t>
      </w:r>
    </w:p>
    <w:p>
      <w:r>
        <w:t>Use this to run your own mock inspection, one key question at a time. Test records against practice, talk to staff, people and families, and use someone with fresh eyes. Then rank what you find by risk and fix the most serious things first.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597"/>
      </w:tblGrid>
      <w:tr>
        <w:tc>
          <w:tcPr>
            <w:tcW w:type="dxa" w:w="2268"/>
            <w:shd w:val="clear" w:color="auto" w:fill="EEEAF7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7597"/>
          </w:tcPr>
          <w:p>
            <w:r/>
          </w:p>
        </w:tc>
      </w:tr>
      <w:tr>
        <w:tc>
          <w:tcPr>
            <w:tcW w:type="dxa" w:w="2268"/>
            <w:shd w:val="clear" w:color="auto" w:fill="EEEAF7"/>
          </w:tcPr>
          <w:p>
            <w:r>
              <w:rPr>
                <w:b/>
              </w:rPr>
              <w:t>Date of review</w:t>
            </w:r>
          </w:p>
        </w:tc>
        <w:tc>
          <w:tcPr>
            <w:tcW w:type="dxa" w:w="7597"/>
          </w:tcPr>
          <w:p>
            <w:r/>
          </w:p>
        </w:tc>
      </w:tr>
      <w:tr>
        <w:tc>
          <w:tcPr>
            <w:tcW w:type="dxa" w:w="2268"/>
            <w:shd w:val="clear" w:color="auto" w:fill="EEEAF7"/>
          </w:tcPr>
          <w:p>
            <w:r>
              <w:rPr>
                <w:b/>
              </w:rPr>
              <w:t>Reviewed by</w:t>
            </w:r>
          </w:p>
        </w:tc>
        <w:tc>
          <w:tcPr>
            <w:tcW w:type="dxa" w:w="7597"/>
          </w:tcPr>
          <w:p>
            <w:r/>
          </w:p>
        </w:tc>
      </w:tr>
      <w:tr>
        <w:tc>
          <w:tcPr>
            <w:tcW w:type="dxa" w:w="2268"/>
            <w:shd w:val="clear" w:color="auto" w:fill="EEEAF7"/>
          </w:tcPr>
          <w:p>
            <w:r>
              <w:rPr>
                <w:b/>
              </w:rPr>
              <w:t>Sample</w:t>
            </w:r>
          </w:p>
        </w:tc>
        <w:tc>
          <w:tcPr>
            <w:tcW w:type="dxa" w:w="7597"/>
          </w:tcPr>
          <w:p>
            <w:r>
              <w:t>Sample three to five residents across different floors or units, the same number of staff files, a month of medicines records, and walk the building at different times of day.</w:t>
            </w:r>
          </w:p>
        </w:tc>
      </w:tr>
    </w:tbl>
    <w:p>
      <w:pPr>
        <w:spacing w:before="240"/>
      </w:pPr>
      <w:r>
        <w:rPr>
          <w:b/>
          <w:color w:val="10243A"/>
          <w:sz w:val="26"/>
        </w:rPr>
        <w:t>Safe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1474"/>
        <w:gridCol w:w="2041"/>
        <w:gridCol w:w="2154"/>
      </w:tblGrid>
      <w:tr>
        <w:tc>
          <w:tcPr>
            <w:tcW w:type="dxa" w:w="4195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What to check</w:t>
            </w:r>
          </w:p>
        </w:tc>
        <w:tc>
          <w:tcPr>
            <w:tcW w:type="dxa" w:w="147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Met / partly / not met</w:t>
            </w:r>
          </w:p>
        </w:tc>
        <w:tc>
          <w:tcPr>
            <w:tcW w:type="dxa" w:w="2041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Evidence seen</w:t>
            </w:r>
          </w:p>
        </w:tc>
        <w:tc>
          <w:tcPr>
            <w:tcW w:type="dxa" w:w="215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Action, owner and date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Risk assessments are current, specific to the person and reviewed after any change or incident.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Medicines records are complete, with no unexplained gaps, and errors are reported and learned from.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Staff can explain how they would recognise and report abuse, and who they would tell.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Incidents are recorded, reviewed and closed, with actions you can trace.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Recruitment files show the Schedule 3 checks, including an enhanced DBS check, references and a full employment history with gaps explained.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There are enough trained staff to cover every visit or shift, and a plan for when you are short.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Premises and equipment checks (fire, water, hoists, beds and pressure-relieving equipment) are current and recorded.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Infection prevention and control is audited, and what you see on the walk round matches the audit.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Effective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1474"/>
        <w:gridCol w:w="2041"/>
        <w:gridCol w:w="2154"/>
      </w:tblGrid>
      <w:tr>
        <w:tc>
          <w:tcPr>
            <w:tcW w:type="dxa" w:w="4195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What to check</w:t>
            </w:r>
          </w:p>
        </w:tc>
        <w:tc>
          <w:tcPr>
            <w:tcW w:type="dxa" w:w="147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Met / partly / not met</w:t>
            </w:r>
          </w:p>
        </w:tc>
        <w:tc>
          <w:tcPr>
            <w:tcW w:type="dxa" w:w="2041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Evidence seen</w:t>
            </w:r>
          </w:p>
        </w:tc>
        <w:tc>
          <w:tcPr>
            <w:tcW w:type="dxa" w:w="215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Action, owner and date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Every person has an assessment of their needs before care starts.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Consent is recorded, and mental capacity assessments are decision specific where there is doubt.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Training records match what staff actually do, including delegated clinical tasks, with competency signed off by someone qualified to assess it.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Staff have regular supervision, and you can show it happened.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You can show outcomes: what has improved for people since care began.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Nutrition and hydration needs are assessed, recorded and met; mealtimes are calm and people get the help they need.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Any deprivation of liberty is authorised (DoLS), conditions are met and expiry dates are tracked.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Caring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1474"/>
        <w:gridCol w:w="2041"/>
        <w:gridCol w:w="2154"/>
      </w:tblGrid>
      <w:tr>
        <w:tc>
          <w:tcPr>
            <w:tcW w:type="dxa" w:w="4195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What to check</w:t>
            </w:r>
          </w:p>
        </w:tc>
        <w:tc>
          <w:tcPr>
            <w:tcW w:type="dxa" w:w="147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Met / partly / not met</w:t>
            </w:r>
          </w:p>
        </w:tc>
        <w:tc>
          <w:tcPr>
            <w:tcW w:type="dxa" w:w="2041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Evidence seen</w:t>
            </w:r>
          </w:p>
        </w:tc>
        <w:tc>
          <w:tcPr>
            <w:tcW w:type="dxa" w:w="215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Action, owner and date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People and families describe staff as kind, respectful and unhurried.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Care plans are written about the person, in their words where possible, not just about tasks.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Privacy and dignity are protected in practice, not just in policy.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People are involved in decisions about their own care, and you can show how.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Responsive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1474"/>
        <w:gridCol w:w="2041"/>
        <w:gridCol w:w="2154"/>
      </w:tblGrid>
      <w:tr>
        <w:tc>
          <w:tcPr>
            <w:tcW w:type="dxa" w:w="4195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What to check</w:t>
            </w:r>
          </w:p>
        </w:tc>
        <w:tc>
          <w:tcPr>
            <w:tcW w:type="dxa" w:w="147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Met / partly / not met</w:t>
            </w:r>
          </w:p>
        </w:tc>
        <w:tc>
          <w:tcPr>
            <w:tcW w:type="dxa" w:w="2041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Evidence seen</w:t>
            </w:r>
          </w:p>
        </w:tc>
        <w:tc>
          <w:tcPr>
            <w:tcW w:type="dxa" w:w="215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Action, owner and date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Care plans reflect people's preferences, routines and what matters to them.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Complaints are logged, answered in line with your policy, and lead to change where needed.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Information is given in a way each person can understand.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Where relevant, end of life wishes are recorded and acted on.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People have things to do that matter to them, inside and outside the home.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Well-led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1474"/>
        <w:gridCol w:w="2041"/>
        <w:gridCol w:w="2154"/>
      </w:tblGrid>
      <w:tr>
        <w:tc>
          <w:tcPr>
            <w:tcW w:type="dxa" w:w="4195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What to check</w:t>
            </w:r>
          </w:p>
        </w:tc>
        <w:tc>
          <w:tcPr>
            <w:tcW w:type="dxa" w:w="147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Met / partly / not met</w:t>
            </w:r>
          </w:p>
        </w:tc>
        <w:tc>
          <w:tcPr>
            <w:tcW w:type="dxa" w:w="2041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Evidence seen</w:t>
            </w:r>
          </w:p>
        </w:tc>
        <w:tc>
          <w:tcPr>
            <w:tcW w:type="dxa" w:w="215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Action, owner and date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The registered manager knows the service in detail and can explain its risks.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Audits happen on schedule, find real issues, and lead to actions that are completed.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Notifications to CQC are made when required and on time.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The duty of candour is followed when a notifiable safety incident happens.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Staff feel able to raise concerns, and leaders act on them.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Your statement of purpose still matches the service you actually run.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Turning findings into an action plan</w:t>
      </w:r>
    </w:p>
    <w:p>
      <w:pPr>
        <w:pStyle w:val="ListBullet"/>
      </w:pPr>
      <w:r>
        <w:t>Rank each finding by risk. Anything that could harm someone now goes first.</w:t>
      </w:r>
    </w:p>
    <w:p>
      <w:pPr>
        <w:pStyle w:val="ListBullet"/>
      </w:pPr>
      <w:r>
        <w:t>Give every action an owner and a date. An action with no owner rarely gets done.</w:t>
      </w:r>
    </w:p>
    <w:p>
      <w:pPr>
        <w:pStyle w:val="ListBullet"/>
      </w:pPr>
      <w:r>
        <w:t>Fix the cause, not just the record. If a medicines chart has gaps, find out why before you retrain anyone.</w:t>
      </w:r>
    </w:p>
    <w:p>
      <w:pPr>
        <w:pStyle w:val="ListBullet"/>
      </w:pPr>
      <w:r>
        <w:t>Check again. Re-audit the same sample a month later to show the change has stuck.</w:t>
      </w:r>
    </w:p>
    <w:p>
      <w:r>
        <w:t>Want an outside view? Assure Advisory carries out mock CQC inspections with a written report ranked by risk within 10 working days: eviqa.health/advisory/mock-cqc-inspection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to use and adapt. eviqa.health/advisory/mock-cqc-inspection. Check CQC's current guidance before an assessment.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3F9E"/>
        <w:sz w:val="16"/>
      </w:rPr>
      <w:t>Eviqa Assure Advisory  |  Mock CQC inspection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