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0243A"/>
          <w:sz w:val="36"/>
        </w:rPr>
        <w:t>Event medical CQC readiness checklist</w:t>
      </w:r>
    </w:p>
    <w:p>
      <w:r>
        <w:t>From 6 December 2027, providing TDDI at an event without CQC registration is an offence. Complete applications received by 1 March 2027 should be decided in time. Use this checklist to see how ready you are.</w:t>
      </w:r>
    </w:p>
    <w:p>
      <w:pPr>
        <w:spacing w:before="240"/>
      </w:pPr>
      <w:r>
        <w:rPr>
          <w:b/>
          <w:color w:val="10243A"/>
          <w:sz w:val="26"/>
        </w:rPr>
        <w:t>Scope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1928"/>
        <w:gridCol w:w="2608"/>
      </w:tblGrid>
      <w:tr>
        <w:tc>
          <w:tcPr>
            <w:tcW w:type="dxa" w:w="5329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1928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Done / in progress / not started</w:t>
            </w:r>
          </w:p>
        </w:tc>
        <w:tc>
          <w:tcPr>
            <w:tcW w:type="dxa" w:w="2608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Notes, owner and date</w:t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You have written down, service by service, whether you provide genuine first aid or treatment of disease, disorder or injury (TDDI).</w:t>
            </w:r>
          </w:p>
        </w:tc>
        <w:tc>
          <w:tcPr>
            <w:tcW w:type="dxa" w:w="1928"/>
          </w:tcPr>
          <w:p/>
        </w:tc>
        <w:tc>
          <w:tcPr>
            <w:tcW w:type="dxa" w:w="2608"/>
          </w:tcPr>
          <w:p/>
        </w:tc>
      </w:tr>
      <w:tr>
        <w:tc>
          <w:tcPr>
            <w:tcW w:type="dxa" w:w="5329"/>
          </w:tcPr>
          <w:p>
            <w:r>
              <w:rPr>
                <w:sz w:val="18"/>
              </w:rPr>
              <w:t>You know whether any booked paramedic, nurse or doctor uses their professional skills or judgement at your events.</w:t>
            </w:r>
          </w:p>
        </w:tc>
        <w:tc>
          <w:tcPr>
            <w:tcW w:type="dxa" w:w="1928"/>
          </w:tcPr>
          <w:p/>
        </w:tc>
        <w:tc>
          <w:tcPr>
            <w:tcW w:type="dxa" w:w="2608"/>
          </w:tcPr>
          <w:p/>
        </w:tc>
      </w:tr>
      <w:tr>
        <w:tc>
          <w:tcPr>
            <w:tcW w:type="dxa" w:w="5329"/>
          </w:tcPr>
          <w:p>
            <w:r>
              <w:rPr>
                <w:sz w:val="18"/>
              </w:rPr>
              <w:t>You know whether you take anyone beyond the event boundary, which needs transport services, triage and medical advice provided remotely.</w:t>
            </w:r>
          </w:p>
        </w:tc>
        <w:tc>
          <w:tcPr>
            <w:tcW w:type="dxa" w:w="1928"/>
          </w:tcPr>
          <w:p/>
        </w:tc>
        <w:tc>
          <w:tcPr>
            <w:tcW w:type="dxa" w:w="2608"/>
          </w:tcPr>
          <w:p/>
        </w:tc>
      </w:tr>
      <w:tr>
        <w:tc>
          <w:tcPr>
            <w:tcW w:type="dxa" w:w="5329"/>
          </w:tcPr>
          <w:p>
            <w:r>
              <w:rPr>
                <w:sz w:val="18"/>
              </w:rPr>
              <w:t>Where your case is not clear, you have asked CQC's events team and kept their answer.</w:t>
            </w:r>
          </w:p>
        </w:tc>
        <w:tc>
          <w:tcPr>
            <w:tcW w:type="dxa" w:w="1928"/>
          </w:tcPr>
          <w:p/>
        </w:tc>
        <w:tc>
          <w:tcPr>
            <w:tcW w:type="dxa" w:w="2608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The provider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1928"/>
        <w:gridCol w:w="2608"/>
      </w:tblGrid>
      <w:tr>
        <w:tc>
          <w:tcPr>
            <w:tcW w:type="dxa" w:w="5329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1928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Done / in progress / not started</w:t>
            </w:r>
          </w:p>
        </w:tc>
        <w:tc>
          <w:tcPr>
            <w:tcW w:type="dxa" w:w="2608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Notes, owner and date</w:t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You have decided which legal entity will register (the healthcare provider, never the event).</w:t>
            </w:r>
          </w:p>
        </w:tc>
        <w:tc>
          <w:tcPr>
            <w:tcW w:type="dxa" w:w="1928"/>
          </w:tcPr>
          <w:p/>
        </w:tc>
        <w:tc>
          <w:tcPr>
            <w:tcW w:type="dxa" w:w="2608"/>
          </w:tcPr>
          <w:p/>
        </w:tc>
      </w:tr>
      <w:tr>
        <w:tc>
          <w:tcPr>
            <w:tcW w:type="dxa" w:w="5329"/>
          </w:tcPr>
          <w:p>
            <w:r>
              <w:rPr>
                <w:sz w:val="18"/>
              </w:rPr>
              <w:t>A registered manager and a nominated individual are appointed, and both understand their roles.</w:t>
            </w:r>
          </w:p>
        </w:tc>
        <w:tc>
          <w:tcPr>
            <w:tcW w:type="dxa" w:w="1928"/>
          </w:tcPr>
          <w:p/>
        </w:tc>
        <w:tc>
          <w:tcPr>
            <w:tcW w:type="dxa" w:w="2608"/>
          </w:tcPr>
          <w:p/>
        </w:tc>
      </w:tr>
      <w:tr>
        <w:tc>
          <w:tcPr>
            <w:tcW w:type="dxa" w:w="5329"/>
          </w:tcPr>
          <w:p>
            <w:r>
              <w:rPr>
                <w:sz w:val="18"/>
              </w:rPr>
              <w:t>If you hold controlled drugs, you have applied for the Home Office licence (allow at least six months).</w:t>
            </w:r>
          </w:p>
        </w:tc>
        <w:tc>
          <w:tcPr>
            <w:tcW w:type="dxa" w:w="1928"/>
          </w:tcPr>
          <w:p/>
        </w:tc>
        <w:tc>
          <w:tcPr>
            <w:tcW w:type="dxa" w:w="2608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Documents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1928"/>
        <w:gridCol w:w="2608"/>
      </w:tblGrid>
      <w:tr>
        <w:tc>
          <w:tcPr>
            <w:tcW w:type="dxa" w:w="5329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1928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Done / in progress / not started</w:t>
            </w:r>
          </w:p>
        </w:tc>
        <w:tc>
          <w:tcPr>
            <w:tcW w:type="dxa" w:w="2608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Notes, owner and date</w:t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Your statement of purpose describes the service you actually run: regulated activities, service types, the people you serve, the events you cover and your registered location.</w:t>
            </w:r>
          </w:p>
        </w:tc>
        <w:tc>
          <w:tcPr>
            <w:tcW w:type="dxa" w:w="1928"/>
          </w:tcPr>
          <w:p/>
        </w:tc>
        <w:tc>
          <w:tcPr>
            <w:tcW w:type="dxa" w:w="2608"/>
          </w:tcPr>
          <w:p/>
        </w:tc>
      </w:tr>
      <w:tr>
        <w:tc>
          <w:tcPr>
            <w:tcW w:type="dxa" w:w="5329"/>
          </w:tcPr>
          <w:p>
            <w:r>
              <w:rPr>
                <w:sz w:val="18"/>
              </w:rPr>
              <w:t>Your policies match how the service really works, including safeguarding, medicines, consent, incidents, complaints and infection control.</w:t>
            </w:r>
          </w:p>
        </w:tc>
        <w:tc>
          <w:tcPr>
            <w:tcW w:type="dxa" w:w="1928"/>
          </w:tcPr>
          <w:p/>
        </w:tc>
        <w:tc>
          <w:tcPr>
            <w:tcW w:type="dxa" w:w="2608"/>
          </w:tcPr>
          <w:p/>
        </w:tc>
      </w:tr>
      <w:tr>
        <w:tc>
          <w:tcPr>
            <w:tcW w:type="dxa" w:w="5329"/>
          </w:tcPr>
          <w:p>
            <w:r>
              <w:rPr>
                <w:sz w:val="18"/>
              </w:rPr>
              <w:t>You have a written method for deciding the level of cover for each event, and keep a risk assessment for each one.</w:t>
            </w:r>
          </w:p>
        </w:tc>
        <w:tc>
          <w:tcPr>
            <w:tcW w:type="dxa" w:w="1928"/>
          </w:tcPr>
          <w:p/>
        </w:tc>
        <w:tc>
          <w:tcPr>
            <w:tcW w:type="dxa" w:w="2608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People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1928"/>
        <w:gridCol w:w="2608"/>
      </w:tblGrid>
      <w:tr>
        <w:tc>
          <w:tcPr>
            <w:tcW w:type="dxa" w:w="5329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1928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Done / in progress / not started</w:t>
            </w:r>
          </w:p>
        </w:tc>
        <w:tc>
          <w:tcPr>
            <w:tcW w:type="dxa" w:w="2608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Notes, owner and date</w:t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Recruitment files hold the required checks for every clinician, including an enhanced DBS check, references and professional registration.</w:t>
            </w:r>
          </w:p>
        </w:tc>
        <w:tc>
          <w:tcPr>
            <w:tcW w:type="dxa" w:w="1928"/>
          </w:tcPr>
          <w:p/>
        </w:tc>
        <w:tc>
          <w:tcPr>
            <w:tcW w:type="dxa" w:w="2608"/>
          </w:tcPr>
          <w:p/>
        </w:tc>
      </w:tr>
      <w:tr>
        <w:tc>
          <w:tcPr>
            <w:tcW w:type="dxa" w:w="5329"/>
          </w:tcPr>
          <w:p>
            <w:r>
              <w:rPr>
                <w:sz w:val="18"/>
              </w:rPr>
              <w:t>Training, competency and supervision records are up to date for every role you deploy.</w:t>
            </w:r>
          </w:p>
        </w:tc>
        <w:tc>
          <w:tcPr>
            <w:tcW w:type="dxa" w:w="1928"/>
          </w:tcPr>
          <w:p/>
        </w:tc>
        <w:tc>
          <w:tcPr>
            <w:tcW w:type="dxa" w:w="2608"/>
          </w:tcPr>
          <w:p/>
        </w:tc>
      </w:tr>
      <w:tr>
        <w:tc>
          <w:tcPr>
            <w:tcW w:type="dxa" w:w="5329"/>
          </w:tcPr>
          <w:p>
            <w:r>
              <w:rPr>
                <w:sz w:val="18"/>
              </w:rPr>
              <w:t>Clinical governance is in place: audits, incident review, and learning that you can show.</w:t>
            </w:r>
          </w:p>
        </w:tc>
        <w:tc>
          <w:tcPr>
            <w:tcW w:type="dxa" w:w="1928"/>
          </w:tcPr>
          <w:p/>
        </w:tc>
        <w:tc>
          <w:tcPr>
            <w:tcW w:type="dxa" w:w="2608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Application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1928"/>
        <w:gridCol w:w="2608"/>
      </w:tblGrid>
      <w:tr>
        <w:tc>
          <w:tcPr>
            <w:tcW w:type="dxa" w:w="5329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1928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Done / in progress / not started</w:t>
            </w:r>
          </w:p>
        </w:tc>
        <w:tc>
          <w:tcPr>
            <w:tcW w:type="dxa" w:w="2608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Notes, owner and date</w:t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Your application, statement of purpose and policies tell the same story.</w:t>
            </w:r>
          </w:p>
        </w:tc>
        <w:tc>
          <w:tcPr>
            <w:tcW w:type="dxa" w:w="1928"/>
          </w:tcPr>
          <w:p/>
        </w:tc>
        <w:tc>
          <w:tcPr>
            <w:tcW w:type="dxa" w:w="2608"/>
          </w:tcPr>
          <w:p/>
        </w:tc>
      </w:tr>
      <w:tr>
        <w:tc>
          <w:tcPr>
            <w:tcW w:type="dxa" w:w="5329"/>
          </w:tcPr>
          <w:p>
            <w:r>
              <w:rPr>
                <w:sz w:val="18"/>
              </w:rPr>
              <w:t>You have practised the registration interview.</w:t>
            </w:r>
          </w:p>
        </w:tc>
        <w:tc>
          <w:tcPr>
            <w:tcW w:type="dxa" w:w="1928"/>
          </w:tcPr>
          <w:p/>
        </w:tc>
        <w:tc>
          <w:tcPr>
            <w:tcW w:type="dxa" w:w="2608"/>
          </w:tcPr>
          <w:p/>
        </w:tc>
      </w:tr>
      <w:tr>
        <w:tc>
          <w:tcPr>
            <w:tcW w:type="dxa" w:w="5329"/>
          </w:tcPr>
          <w:p>
            <w:r>
              <w:rPr>
                <w:sz w:val="18"/>
              </w:rPr>
              <w:t>You plan to submit a complete application well before 1 March 2027.</w:t>
            </w:r>
          </w:p>
        </w:tc>
        <w:tc>
          <w:tcPr>
            <w:tcW w:type="dxa" w:w="1928"/>
          </w:tcPr>
          <w:p/>
        </w:tc>
        <w:tc>
          <w:tcPr>
            <w:tcW w:type="dxa" w:w="2608"/>
          </w:tcPr>
          <w:p/>
        </w:tc>
      </w:tr>
    </w:tbl>
    <w:p>
      <w:r>
        <w:t>Not sure if you are in scope? Assure Advisory offers a free 30-minute call: eviqa.health/advisory/event-healthcare-cqc-registration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to use and adapt. eviqa.health/advisory/event-healthcare-cqc-registration. Check CQC's current guidance before you apply.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3F9E"/>
        <w:sz w:val="16"/>
      </w:rPr>
      <w:t>Eviqa Assure Advisory  |  Event medical CQC readiness checklist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